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2" w:rsidRDefault="0002782D">
      <w:r>
        <w:t>W przypadku egzaminów typu A i B wymagana jest znajomość wybranych przez zdającego podręczników do historii Polski i historii powszechnej XIX w.</w:t>
      </w:r>
    </w:p>
    <w:p w:rsidR="0002782D" w:rsidRDefault="0002782D">
      <w:r>
        <w:t>W przypadku egzaminu typy A obowiązują również cztery monografie z historii Polski i cztery z historii powszechnej wybrane przez zdającego w porozumieniu ze mną.</w:t>
      </w:r>
      <w:bookmarkStart w:id="0" w:name="_GoBack"/>
      <w:bookmarkEnd w:id="0"/>
    </w:p>
    <w:sectPr w:rsidR="0002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D"/>
    <w:rsid w:val="0002782D"/>
    <w:rsid w:val="00427663"/>
    <w:rsid w:val="004770E6"/>
    <w:rsid w:val="0073100B"/>
    <w:rsid w:val="00795EE0"/>
    <w:rsid w:val="008B6452"/>
    <w:rsid w:val="009D280E"/>
    <w:rsid w:val="00A86594"/>
    <w:rsid w:val="00A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A492-0727-43E1-96EC-F17F46B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2020-01-31T10:32:00Z</dcterms:created>
  <dcterms:modified xsi:type="dcterms:W3CDTF">2020-01-31T10:36:00Z</dcterms:modified>
</cp:coreProperties>
</file>