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LEKTURY EGZAMINACYJNE Z HISTORII STAROŻYTNEJ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W ROKU AKADEMICKIM 20</w:t>
      </w:r>
      <w:r>
        <w:rPr>
          <w:rStyle w:val="Fontstyle01"/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20</w:t>
      </w:r>
      <w:r>
        <w:rPr>
          <w:rStyle w:val="Fontstyle01"/>
          <w:sz w:val="24"/>
          <w:szCs w:val="24"/>
        </w:rPr>
        <w:t>/20</w:t>
      </w:r>
      <w:r>
        <w:rPr>
          <w:rStyle w:val="Fontstyle01"/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21</w:t>
      </w:r>
    </w:p>
    <w:p>
      <w:pPr>
        <w:pStyle w:val="Normal"/>
        <w:spacing w:lineRule="auto" w:line="360" w:before="0" w:after="0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Adam Ziółkowski</w:t>
      </w:r>
      <w:r>
        <w:rPr>
          <w:b/>
          <w:bCs/>
          <w:color w:val="000000"/>
          <w:sz w:val="24"/>
          <w:szCs w:val="24"/>
        </w:rPr>
        <w:br/>
      </w:r>
    </w:p>
    <w:p>
      <w:pPr>
        <w:pStyle w:val="Normal"/>
        <w:spacing w:lineRule="auto" w:line="360" w:before="0" w:after="0"/>
        <w:jc w:val="center"/>
        <w:rPr>
          <w:rStyle w:val="Fontstyle01"/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Podręcznik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A. Ziółkowski, </w:t>
      </w:r>
      <w:r>
        <w:rPr>
          <w:rStyle w:val="Fontstyle31"/>
          <w:sz w:val="24"/>
          <w:szCs w:val="24"/>
        </w:rPr>
        <w:t>Historia Powszechna. Starożytność</w:t>
      </w:r>
      <w:r>
        <w:rPr>
          <w:rStyle w:val="Fontstyle21"/>
          <w:sz w:val="24"/>
          <w:szCs w:val="24"/>
        </w:rPr>
        <w:t>, Warszawa 2009</w:t>
      </w:r>
      <w:r>
        <w:rPr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>Osoby, które zaliczyły egzamin cząstkowy z historii starożytnego</w:t>
      </w:r>
      <w:r>
        <w:rPr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>Wschodu: s. 171–194, 260–283 i od 373 do końca; pozostali – całość.</w:t>
      </w:r>
      <w:r>
        <w:rPr>
          <w:color w:val="000000"/>
          <w:sz w:val="24"/>
          <w:szCs w:val="24"/>
        </w:rPr>
        <w:br/>
      </w:r>
    </w:p>
    <w:p>
      <w:pPr>
        <w:pStyle w:val="Normal"/>
        <w:spacing w:before="0" w:after="120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Lektury dodatkowe (po jednej ze Wschodu [ci, którzy nie zdali</w:t>
      </w:r>
      <w:r>
        <w:rPr>
          <w:rStyle w:val="Fontstyle01"/>
          <w:b/>
          <w:bCs/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egzaminu cząstkowego], Grecji i Rzymu)</w:t>
      </w:r>
    </w:p>
    <w:p>
      <w:pPr>
        <w:pStyle w:val="Normal"/>
        <w:spacing w:before="0" w:after="120"/>
        <w:rPr>
          <w:rStyle w:val="Fontstyle21"/>
          <w:sz w:val="24"/>
          <w:szCs w:val="24"/>
        </w:rPr>
      </w:pPr>
      <w:r>
        <w:rPr>
          <w:rStyle w:val="Fontstyle01"/>
          <w:sz w:val="24"/>
          <w:szCs w:val="24"/>
        </w:rPr>
        <w:t>Wschód: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Marc van de Mieroop, </w:t>
      </w:r>
      <w:r>
        <w:rPr>
          <w:rStyle w:val="Fontstyle21"/>
          <w:i/>
          <w:iCs/>
          <w:sz w:val="24"/>
          <w:szCs w:val="24"/>
        </w:rPr>
        <w:t>Historia starożytnego Bliskiego Wschodu, ok. 3000–323 p.n.e</w:t>
      </w:r>
      <w:r>
        <w:rPr>
          <w:rStyle w:val="Fontstyle21"/>
          <w:sz w:val="24"/>
          <w:szCs w:val="24"/>
        </w:rPr>
        <w:t>, Kraków 2008.</w:t>
      </w:r>
      <w:r>
        <w:rPr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E. Hornung, </w:t>
      </w:r>
      <w:r>
        <w:rPr>
          <w:rStyle w:val="Fontstyle31"/>
          <w:sz w:val="24"/>
          <w:szCs w:val="24"/>
        </w:rPr>
        <w:t>Jeden czy wielu? Koncepcja Boga w starożytnym Egipcie</w:t>
      </w:r>
      <w:r>
        <w:rPr>
          <w:rStyle w:val="Fontstyle21"/>
          <w:sz w:val="24"/>
          <w:szCs w:val="24"/>
        </w:rPr>
        <w:t>,</w:t>
      </w:r>
      <w:r>
        <w:rPr>
          <w:rStyle w:val="Fontstyle21"/>
          <w:color w:val="000000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Warszawa 1991.</w:t>
      </w:r>
    </w:p>
    <w:p>
      <w:pPr>
        <w:pStyle w:val="Normal"/>
        <w:spacing w:before="0" w:after="120"/>
        <w:rPr>
          <w:rStyle w:val="Fontstyle21"/>
          <w:sz w:val="24"/>
          <w:szCs w:val="24"/>
        </w:rPr>
      </w:pPr>
      <w:r>
        <w:rPr>
          <w:rStyle w:val="Fontstyle01"/>
          <w:sz w:val="24"/>
          <w:szCs w:val="24"/>
        </w:rPr>
        <w:t>Grecja: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Fontstyle31"/>
          <w:sz w:val="24"/>
          <w:szCs w:val="24"/>
        </w:rPr>
        <w:t>Historia starożytnych Greków</w:t>
      </w:r>
      <w:r>
        <w:rPr>
          <w:rStyle w:val="Fontstyle21"/>
          <w:sz w:val="24"/>
          <w:szCs w:val="24"/>
        </w:rPr>
        <w:t xml:space="preserve">. II: </w:t>
      </w:r>
      <w:r>
        <w:rPr>
          <w:rStyle w:val="Fontstyle31"/>
          <w:sz w:val="24"/>
          <w:szCs w:val="24"/>
        </w:rPr>
        <w:t>Okres klasyczny</w:t>
      </w:r>
      <w:r>
        <w:rPr>
          <w:rStyle w:val="Fontstyle21"/>
          <w:sz w:val="24"/>
          <w:szCs w:val="24"/>
        </w:rPr>
        <w:t>, Warszawa 2008, cz.</w:t>
      </w:r>
      <w:r>
        <w:rPr>
          <w:rStyle w:val="Fontstyle21"/>
          <w:color w:val="000000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IV rozdz. II: </w:t>
      </w:r>
      <w:r>
        <w:rPr>
          <w:rStyle w:val="Fontstyle31"/>
          <w:sz w:val="24"/>
          <w:szCs w:val="24"/>
        </w:rPr>
        <w:t>Demokracja ateńska w epoce klasycznej</w:t>
      </w:r>
      <w:r>
        <w:rPr>
          <w:rStyle w:val="Fontstyle21"/>
          <w:sz w:val="24"/>
          <w:szCs w:val="24"/>
        </w:rPr>
        <w:t>, s. 345–530 (M.</w:t>
      </w:r>
      <w:r>
        <w:rPr>
          <w:rStyle w:val="Fontstyle21"/>
          <w:color w:val="000000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Węcowski)</w:t>
      </w:r>
      <w:r>
        <w:rPr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A. Wolicki, </w:t>
      </w:r>
      <w:r>
        <w:rPr>
          <w:rStyle w:val="Fontstyle31"/>
          <w:sz w:val="24"/>
          <w:szCs w:val="24"/>
        </w:rPr>
        <w:t>Symmachia spartańska w VI – V w. p.n.e.</w:t>
      </w:r>
      <w:r>
        <w:rPr>
          <w:rStyle w:val="Fontstyle21"/>
          <w:sz w:val="24"/>
          <w:szCs w:val="24"/>
        </w:rPr>
        <w:t>, Warszawa 2012.</w:t>
      </w:r>
    </w:p>
    <w:p>
      <w:pPr>
        <w:pStyle w:val="Normal"/>
        <w:spacing w:before="0" w:after="0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Rzym: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P. Berdowski, </w:t>
      </w:r>
      <w:r>
        <w:rPr>
          <w:rStyle w:val="Fontstyle31"/>
          <w:sz w:val="24"/>
          <w:szCs w:val="24"/>
        </w:rPr>
        <w:t>Res gestae Neptuni filii. Sextus Pompeius i rzymskie wojny</w:t>
      </w:r>
      <w:r>
        <w:rPr>
          <w:rStyle w:val="Fontstyle31"/>
          <w:i/>
          <w:iCs/>
          <w:color w:val="000000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domowe</w:t>
      </w:r>
      <w:r>
        <w:rPr>
          <w:rStyle w:val="Fontstyle21"/>
          <w:sz w:val="24"/>
          <w:szCs w:val="24"/>
        </w:rPr>
        <w:t>, Rzeszów 2013 (dla ambitnych).</w:t>
      </w:r>
      <w:r>
        <w:rPr>
          <w:color w:val="000000"/>
          <w:sz w:val="24"/>
          <w:szCs w:val="24"/>
        </w:rPr>
        <w:br/>
      </w:r>
      <w:r>
        <w:rPr>
          <w:rStyle w:val="Fontstyle31"/>
          <w:sz w:val="24"/>
          <w:szCs w:val="24"/>
        </w:rPr>
        <w:t>Starożytny Rzym we współczesnych badaniach. Liber in memoriam</w:t>
      </w:r>
      <w:r>
        <w:rPr>
          <w:rStyle w:val="Fontstyle31"/>
          <w:i/>
          <w:iCs/>
          <w:color w:val="000000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 xml:space="preserve">Lodovici Piotrowicz </w:t>
      </w:r>
      <w:r>
        <w:rPr>
          <w:rStyle w:val="Fontstyle21"/>
          <w:sz w:val="24"/>
          <w:szCs w:val="24"/>
        </w:rPr>
        <w:t>(red. J. Wolski, T. Kotula, A. Kunisz), Uniwersytet</w:t>
      </w:r>
      <w:r>
        <w:rPr>
          <w:rStyle w:val="Fontstyle21"/>
          <w:color w:val="000000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Jagielloński, Kraków 1994 (artykuły </w:t>
      </w:r>
      <w:r>
        <w:rPr>
          <w:rStyle w:val="Fontstyle21"/>
          <w:sz w:val="24"/>
          <w:szCs w:val="24"/>
          <w:shd w:fill="auto" w:val="clear"/>
        </w:rPr>
        <w:t xml:space="preserve">E. Wipszyckiej, </w:t>
      </w:r>
      <w:r>
        <w:rPr>
          <w:rStyle w:val="Fontstyle21"/>
          <w:sz w:val="24"/>
          <w:szCs w:val="24"/>
          <w:u w:val="none"/>
          <w:shd w:fill="auto" w:val="clear"/>
        </w:rPr>
        <w:t>s. 149–189 i J. Kolendo, s. 331–354</w:t>
      </w:r>
      <w:r>
        <w:rPr>
          <w:rStyle w:val="Fontstyle21"/>
          <w:sz w:val="24"/>
          <w:szCs w:val="24"/>
        </w:rPr>
        <w:t>).</w:t>
      </w:r>
      <w:r>
        <w:rPr>
          <w:color w:val="000000"/>
          <w:sz w:val="24"/>
          <w:szCs w:val="24"/>
        </w:rPr>
        <w:br/>
      </w:r>
    </w:p>
    <w:p>
      <w:pPr>
        <w:pStyle w:val="Normal"/>
        <w:spacing w:before="0" w:after="0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Źródła</w:t>
      </w:r>
      <w:r>
        <w:rPr>
          <w:b/>
          <w:bCs/>
          <w:color w:val="000000"/>
          <w:sz w:val="24"/>
          <w:szCs w:val="24"/>
        </w:rPr>
        <w:br/>
      </w:r>
    </w:p>
    <w:p>
      <w:pPr>
        <w:pStyle w:val="Normal"/>
        <w:spacing w:before="0" w:after="120"/>
        <w:rPr>
          <w:rStyle w:val="Fontstyle21"/>
          <w:sz w:val="24"/>
          <w:szCs w:val="24"/>
        </w:rPr>
      </w:pPr>
      <w:r>
        <w:rPr>
          <w:rStyle w:val="Fontstyle01"/>
          <w:sz w:val="24"/>
          <w:szCs w:val="24"/>
        </w:rPr>
        <w:t xml:space="preserve">Grecja: </w:t>
      </w:r>
      <w:r>
        <w:rPr>
          <w:rStyle w:val="Fontstyle21"/>
          <w:sz w:val="24"/>
          <w:szCs w:val="24"/>
        </w:rPr>
        <w:t>do wyboru jedna księga Herodota lub Thukydidesa</w:t>
      </w:r>
    </w:p>
    <w:p>
      <w:pPr>
        <w:pStyle w:val="Normal"/>
        <w:spacing w:before="0" w:after="120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Rzym: </w:t>
      </w:r>
      <w:r>
        <w:rPr>
          <w:rStyle w:val="Fontstyle21"/>
          <w:sz w:val="24"/>
          <w:szCs w:val="24"/>
        </w:rPr>
        <w:t>do wyboru jedna księga Liviusa lub Tacita (</w:t>
      </w:r>
      <w:r>
        <w:rPr>
          <w:rStyle w:val="Fontstyle31"/>
          <w:sz w:val="24"/>
          <w:szCs w:val="24"/>
        </w:rPr>
        <w:t>Roczniki, Historie,</w:t>
      </w:r>
      <w:r>
        <w:rPr>
          <w:i/>
          <w:iCs/>
          <w:color w:val="000000"/>
          <w:sz w:val="24"/>
          <w:szCs w:val="24"/>
        </w:rPr>
        <w:br/>
      </w:r>
      <w:r>
        <w:rPr>
          <w:rStyle w:val="Fontstyle31"/>
          <w:sz w:val="24"/>
          <w:szCs w:val="24"/>
        </w:rPr>
        <w:t xml:space="preserve">Germania </w:t>
      </w:r>
      <w:r>
        <w:rPr>
          <w:rStyle w:val="Fontstyle21"/>
          <w:sz w:val="24"/>
          <w:szCs w:val="24"/>
        </w:rPr>
        <w:t>[w grę wchodzi wyłącznie wydanie ze wstępem i komentarzem</w:t>
      </w:r>
      <w:r>
        <w:rPr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>J. Kolendo, Poznań 2008]</w:t>
      </w:r>
      <w:r>
        <w:rPr>
          <w:rStyle w:val="Fontstyle31"/>
          <w:sz w:val="24"/>
          <w:szCs w:val="24"/>
        </w:rPr>
        <w:t>, Żywot Iuliusa Agricoli</w:t>
      </w:r>
      <w:r>
        <w:rPr>
          <w:rStyle w:val="Fontstyle21"/>
          <w:sz w:val="24"/>
          <w:szCs w:val="24"/>
        </w:rPr>
        <w:t>).</w:t>
      </w:r>
      <w:r>
        <w:rPr>
          <w:color w:val="000000"/>
          <w:sz w:val="24"/>
          <w:szCs w:val="24"/>
        </w:rPr>
        <w:b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Style w:val="Fontstyle01"/>
          <w:sz w:val="24"/>
          <w:szCs w:val="24"/>
        </w:rPr>
        <w:t>I (nieomal) najważniejsza pozycja!!!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L. Piotrowicz, </w:t>
      </w:r>
      <w:r>
        <w:rPr>
          <w:rStyle w:val="Fontstyle31"/>
          <w:sz w:val="24"/>
          <w:szCs w:val="24"/>
        </w:rPr>
        <w:t>Atlas historii starożytnej</w:t>
      </w:r>
      <w:r>
        <w:rPr>
          <w:rStyle w:val="Fontstyle21"/>
          <w:sz w:val="24"/>
          <w:szCs w:val="24"/>
        </w:rPr>
        <w:t>, Warszawa–Wrocław (niezliczone</w:t>
      </w:r>
      <w:r>
        <w:rPr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>wydania).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da5a7c"/>
    <w:rPr>
      <w:rFonts w:ascii="Times New Roman" w:hAnsi="Times New Roman" w:cs="Times New Roman"/>
      <w:b/>
      <w:bCs/>
      <w:i w:val="false"/>
      <w:iCs w:val="false"/>
      <w:color w:val="000000"/>
      <w:sz w:val="28"/>
      <w:szCs w:val="28"/>
    </w:rPr>
  </w:style>
  <w:style w:type="character" w:styleId="Fontstyle21" w:customStyle="1">
    <w:name w:val="fontstyle21"/>
    <w:basedOn w:val="DefaultParagraphFont"/>
    <w:qFormat/>
    <w:rsid w:val="00da5a7c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Fontstyle31" w:customStyle="1">
    <w:name w:val="fontstyle31"/>
    <w:basedOn w:val="DefaultParagraphFont"/>
    <w:qFormat/>
    <w:rsid w:val="00da5a7c"/>
    <w:rPr>
      <w:rFonts w:ascii="Times New Roman" w:hAnsi="Times New Roman" w:cs="Times New Roman"/>
      <w:b w:val="false"/>
      <w:bCs w:val="false"/>
      <w:i/>
      <w:iCs/>
      <w:color w:val="000000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LibreOffice/7.1.0.3$MacOSX_X86_64 LibreOffice_project/f6099ecf3d29644b5008cc8f48f42f4a40986e4c</Application>
  <AppVersion>15.0000</AppVersion>
  <Pages>1</Pages>
  <Words>215</Words>
  <Characters>1309</Characters>
  <CharactersWithSpaces>1513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2018-11-29T09:03:00Z</dcterms:created>
  <dc:creator>Karolina Koper</dc:creator>
  <dc:description/>
  <dc:language>en-GB</dc:language>
  <cp:lastModifiedBy>Paweł Nowakowski</cp:lastModifiedBy>
  <dcterms:modified xsi:type="dcterms:W3CDTF">2021-03-12T16:46:23Z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